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rtl w:val="0"/>
        </w:rPr>
        <w:t xml:space="preserve">Reading in Virginia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Coaching Connections Guide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Coaching Connection Topic: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literacy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topic is supported (e.g., phonics, fluency, comprehension, persuasive writing, literacy teacher professional learning, etc.)?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Coaching Challenge: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Provide some background.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challenge did you and/or your fellow teachers face on this topic? What was the issue?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Tip(s) to address the challenge: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How did you address the challenge?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is your advice?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worked for you and your school? If you consulted any research or resources, cite them so others can locate and use them too.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Tip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elaborate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Tip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elaborate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Tip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elaborate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Provide as many tips to address the challenge as you’d like!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Wrap-Up: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How did these tips work for you? What successes were teachers and/or students able to experience because of these tips? What should literacy specialists and coaches take away from this Coaching Connections article?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References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Include references of any citations you noted above to support your topics and tips</w:t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Century Gothic" w:cs="Century Gothic" w:eastAsia="Century Gothic" w:hAnsi="Century Gothic"/>
        <w:i w:val="1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Created 2/2022 by </w:t>
    </w:r>
    <w:r w:rsidDel="00000000" w:rsidR="00000000" w:rsidRPr="00000000">
      <w:rPr>
        <w:rFonts w:ascii="Century Gothic" w:cs="Century Gothic" w:eastAsia="Century Gothic" w:hAnsi="Century Gothic"/>
        <w:i w:val="1"/>
        <w:sz w:val="16"/>
        <w:szCs w:val="16"/>
        <w:rtl w:val="0"/>
      </w:rPr>
      <w:t xml:space="preserve">Reading in Virginia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